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069" w:rsidRPr="0006278F" w:rsidRDefault="004D7074" w:rsidP="0006278F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06278F">
        <w:rPr>
          <w:b/>
          <w:bCs/>
          <w:sz w:val="42"/>
          <w:szCs w:val="42"/>
        </w:rPr>
        <w:t xml:space="preserve">Green Community West </w:t>
      </w:r>
      <w:r w:rsidR="0006278F" w:rsidRPr="00D87648">
        <w:rPr>
          <w:b/>
          <w:bCs/>
          <w:sz w:val="42"/>
          <w:szCs w:val="42"/>
        </w:rPr>
        <w:t>DIP –</w:t>
      </w:r>
      <w:r w:rsidR="0006278F" w:rsidRPr="0006278F">
        <w:rPr>
          <w:b/>
          <w:bCs/>
          <w:sz w:val="42"/>
          <w:szCs w:val="42"/>
        </w:rPr>
        <w:t xml:space="preserve"> </w:t>
      </w:r>
      <w:r w:rsidRPr="0006278F">
        <w:rPr>
          <w:b/>
          <w:bCs/>
          <w:sz w:val="42"/>
          <w:szCs w:val="42"/>
        </w:rPr>
        <w:t>Phase</w:t>
      </w:r>
      <w:r w:rsidR="0006278F">
        <w:rPr>
          <w:b/>
          <w:bCs/>
          <w:sz w:val="42"/>
          <w:szCs w:val="42"/>
        </w:rPr>
        <w:t xml:space="preserve"> </w:t>
      </w:r>
      <w:r w:rsidRPr="0006278F">
        <w:rPr>
          <w:b/>
          <w:bCs/>
          <w:sz w:val="42"/>
          <w:szCs w:val="42"/>
        </w:rPr>
        <w:t>III on schedule; set to hand over 76 townhouses in Q</w:t>
      </w:r>
      <w:r w:rsidR="00EC05F9" w:rsidRPr="0006278F">
        <w:rPr>
          <w:b/>
          <w:bCs/>
          <w:sz w:val="42"/>
          <w:szCs w:val="42"/>
        </w:rPr>
        <w:t>2</w:t>
      </w:r>
      <w:r w:rsidRPr="0006278F">
        <w:rPr>
          <w:b/>
          <w:bCs/>
          <w:sz w:val="42"/>
          <w:szCs w:val="42"/>
        </w:rPr>
        <w:t xml:space="preserve"> of 2017</w:t>
      </w:r>
    </w:p>
    <w:p w:rsidR="006128DA" w:rsidRDefault="006128DA" w:rsidP="004D7074">
      <w:pPr>
        <w:spacing w:after="0" w:line="240" w:lineRule="auto"/>
        <w:jc w:val="both"/>
      </w:pPr>
    </w:p>
    <w:p w:rsidR="007B44AD" w:rsidRPr="007B44AD" w:rsidRDefault="007B44AD" w:rsidP="007B44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u w:val="single"/>
        </w:rPr>
      </w:pPr>
      <w:r w:rsidRPr="007B44AD">
        <w:rPr>
          <w:sz w:val="28"/>
          <w:szCs w:val="28"/>
          <w:u w:val="single"/>
        </w:rPr>
        <w:t>Project consists of 210 to</w:t>
      </w:r>
      <w:r>
        <w:rPr>
          <w:sz w:val="28"/>
          <w:szCs w:val="28"/>
          <w:u w:val="single"/>
        </w:rPr>
        <w:t xml:space="preserve">wnhouses, 16 duplex apartments &amp; </w:t>
      </w:r>
      <w:r w:rsidRPr="007B44AD">
        <w:rPr>
          <w:sz w:val="28"/>
          <w:szCs w:val="28"/>
          <w:u w:val="single"/>
        </w:rPr>
        <w:t>retail units</w:t>
      </w:r>
    </w:p>
    <w:p w:rsidR="007B44AD" w:rsidRPr="007B44AD" w:rsidRDefault="007B44AD" w:rsidP="007B44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u w:val="single"/>
        </w:rPr>
      </w:pPr>
      <w:r w:rsidRPr="007B44AD">
        <w:rPr>
          <w:sz w:val="28"/>
          <w:szCs w:val="28"/>
          <w:u w:val="single"/>
        </w:rPr>
        <w:t xml:space="preserve">Attractive payment plans offered to investors by Properties Investment </w:t>
      </w:r>
    </w:p>
    <w:p w:rsidR="007B44AD" w:rsidRDefault="007B44AD" w:rsidP="004D7074">
      <w:pPr>
        <w:spacing w:after="0" w:line="240" w:lineRule="auto"/>
        <w:jc w:val="both"/>
      </w:pPr>
    </w:p>
    <w:p w:rsidR="006128DA" w:rsidRPr="0053047A" w:rsidRDefault="006128DA" w:rsidP="0006278F">
      <w:pPr>
        <w:spacing w:after="0" w:line="240" w:lineRule="auto"/>
        <w:jc w:val="both"/>
        <w:rPr>
          <w:sz w:val="24"/>
          <w:szCs w:val="24"/>
        </w:rPr>
      </w:pPr>
      <w:r w:rsidRPr="0053047A">
        <w:rPr>
          <w:b/>
          <w:bCs/>
          <w:sz w:val="24"/>
          <w:szCs w:val="24"/>
        </w:rPr>
        <w:t xml:space="preserve">Dubai, January </w:t>
      </w:r>
      <w:r w:rsidRPr="00377E50">
        <w:rPr>
          <w:b/>
          <w:bCs/>
          <w:sz w:val="24"/>
          <w:szCs w:val="24"/>
        </w:rPr>
        <w:t>29</w:t>
      </w:r>
      <w:r w:rsidRPr="0053047A">
        <w:rPr>
          <w:b/>
          <w:bCs/>
          <w:sz w:val="24"/>
          <w:szCs w:val="24"/>
        </w:rPr>
        <w:t>, 2017:</w:t>
      </w:r>
      <w:r w:rsidRPr="0053047A">
        <w:rPr>
          <w:sz w:val="24"/>
          <w:szCs w:val="24"/>
        </w:rPr>
        <w:t xml:space="preserve"> Properties Investment LLC [PI], owned 70% by Dubai Investments PJSC and 30% by Union Properties PJSC &amp; engaged in investments and development of real estate projects </w:t>
      </w:r>
      <w:r w:rsidR="004D0E7B" w:rsidRPr="0053047A">
        <w:rPr>
          <w:sz w:val="24"/>
          <w:szCs w:val="24"/>
        </w:rPr>
        <w:t xml:space="preserve">in </w:t>
      </w:r>
      <w:r w:rsidRPr="0053047A">
        <w:rPr>
          <w:sz w:val="24"/>
          <w:szCs w:val="24"/>
        </w:rPr>
        <w:t>the UAE, has announced that the Green Community West</w:t>
      </w:r>
      <w:r w:rsidR="0006278F">
        <w:rPr>
          <w:sz w:val="24"/>
          <w:szCs w:val="24"/>
        </w:rPr>
        <w:t xml:space="preserve"> </w:t>
      </w:r>
      <w:r w:rsidR="0006278F" w:rsidRPr="00D87648">
        <w:rPr>
          <w:sz w:val="24"/>
          <w:szCs w:val="24"/>
        </w:rPr>
        <w:t>Dubai Investments Park</w:t>
      </w:r>
      <w:r w:rsidRPr="0053047A">
        <w:rPr>
          <w:sz w:val="24"/>
          <w:szCs w:val="24"/>
        </w:rPr>
        <w:t xml:space="preserve"> </w:t>
      </w:r>
      <w:r w:rsidR="0006278F">
        <w:rPr>
          <w:sz w:val="24"/>
          <w:szCs w:val="24"/>
        </w:rPr>
        <w:t xml:space="preserve">– </w:t>
      </w:r>
      <w:r w:rsidRPr="0053047A">
        <w:rPr>
          <w:sz w:val="24"/>
          <w:szCs w:val="24"/>
        </w:rPr>
        <w:t>Phase</w:t>
      </w:r>
      <w:r w:rsidR="0006278F">
        <w:rPr>
          <w:sz w:val="24"/>
          <w:szCs w:val="24"/>
        </w:rPr>
        <w:t xml:space="preserve"> </w:t>
      </w:r>
      <w:r w:rsidRPr="0053047A">
        <w:rPr>
          <w:sz w:val="24"/>
          <w:szCs w:val="24"/>
        </w:rPr>
        <w:t>III is progressing as per schedule</w:t>
      </w:r>
      <w:r w:rsidR="005943A6" w:rsidRPr="0053047A">
        <w:rPr>
          <w:sz w:val="24"/>
          <w:szCs w:val="24"/>
        </w:rPr>
        <w:t>,</w:t>
      </w:r>
      <w:r w:rsidRPr="0053047A">
        <w:rPr>
          <w:sz w:val="24"/>
          <w:szCs w:val="24"/>
        </w:rPr>
        <w:t xml:space="preserve"> with </w:t>
      </w:r>
      <w:r w:rsidRPr="00EC05F9">
        <w:rPr>
          <w:sz w:val="24"/>
          <w:szCs w:val="24"/>
        </w:rPr>
        <w:t>76</w:t>
      </w:r>
      <w:r w:rsidRPr="0053047A">
        <w:rPr>
          <w:sz w:val="24"/>
          <w:szCs w:val="24"/>
        </w:rPr>
        <w:t xml:space="preserve"> townhouses in stage 1 to be handed over in </w:t>
      </w:r>
      <w:r w:rsidR="005943A6" w:rsidRPr="0053047A">
        <w:rPr>
          <w:sz w:val="24"/>
          <w:szCs w:val="24"/>
        </w:rPr>
        <w:t xml:space="preserve">the </w:t>
      </w:r>
      <w:r w:rsidR="00EC05F9">
        <w:rPr>
          <w:sz w:val="24"/>
          <w:szCs w:val="24"/>
        </w:rPr>
        <w:t>second</w:t>
      </w:r>
      <w:r w:rsidR="005943A6" w:rsidRPr="0053047A">
        <w:rPr>
          <w:sz w:val="24"/>
          <w:szCs w:val="24"/>
        </w:rPr>
        <w:t xml:space="preserve"> quarter</w:t>
      </w:r>
      <w:r w:rsidRPr="0053047A">
        <w:rPr>
          <w:sz w:val="24"/>
          <w:szCs w:val="24"/>
        </w:rPr>
        <w:t xml:space="preserve"> of 2017.</w:t>
      </w:r>
    </w:p>
    <w:p w:rsidR="007B44AD" w:rsidRPr="0053047A" w:rsidRDefault="007B44AD" w:rsidP="00E801FC">
      <w:pPr>
        <w:spacing w:after="0" w:line="240" w:lineRule="auto"/>
        <w:jc w:val="both"/>
        <w:rPr>
          <w:sz w:val="24"/>
          <w:szCs w:val="24"/>
        </w:rPr>
      </w:pPr>
    </w:p>
    <w:p w:rsidR="006128DA" w:rsidRPr="0053047A" w:rsidRDefault="006128DA" w:rsidP="00E801FC">
      <w:pPr>
        <w:spacing w:after="0" w:line="240" w:lineRule="auto"/>
        <w:jc w:val="both"/>
        <w:rPr>
          <w:sz w:val="24"/>
          <w:szCs w:val="24"/>
        </w:rPr>
      </w:pPr>
      <w:r w:rsidRPr="0053047A">
        <w:rPr>
          <w:sz w:val="24"/>
          <w:szCs w:val="24"/>
        </w:rPr>
        <w:t>The Green Community West</w:t>
      </w:r>
      <w:r w:rsidR="0006278F">
        <w:rPr>
          <w:sz w:val="24"/>
          <w:szCs w:val="24"/>
        </w:rPr>
        <w:t xml:space="preserve"> </w:t>
      </w:r>
      <w:r w:rsidR="0006278F" w:rsidRPr="00D87648">
        <w:rPr>
          <w:sz w:val="24"/>
          <w:szCs w:val="24"/>
        </w:rPr>
        <w:t>DIP –</w:t>
      </w:r>
      <w:r w:rsidR="0006278F">
        <w:rPr>
          <w:sz w:val="24"/>
          <w:szCs w:val="24"/>
        </w:rPr>
        <w:t xml:space="preserve"> Phase </w:t>
      </w:r>
      <w:r w:rsidRPr="0053047A">
        <w:rPr>
          <w:sz w:val="24"/>
          <w:szCs w:val="24"/>
        </w:rPr>
        <w:t xml:space="preserve">III, covering an area of 1.48 million square feet and a natural extension of </w:t>
      </w:r>
      <w:r w:rsidR="004D0E7B" w:rsidRPr="0053047A">
        <w:rPr>
          <w:sz w:val="24"/>
          <w:szCs w:val="24"/>
        </w:rPr>
        <w:t xml:space="preserve">the </w:t>
      </w:r>
      <w:r w:rsidRPr="0053047A">
        <w:rPr>
          <w:sz w:val="24"/>
          <w:szCs w:val="24"/>
        </w:rPr>
        <w:t xml:space="preserve">Green Community development, comprises a total of 210 </w:t>
      </w:r>
      <w:r w:rsidR="004D0E7B" w:rsidRPr="0053047A">
        <w:rPr>
          <w:sz w:val="24"/>
          <w:szCs w:val="24"/>
        </w:rPr>
        <w:t>t</w:t>
      </w:r>
      <w:r w:rsidRPr="0053047A">
        <w:rPr>
          <w:sz w:val="24"/>
          <w:szCs w:val="24"/>
        </w:rPr>
        <w:t>ownhouses, including 122 four-bedroom and 88 three-bedroom townhouses, 16 duplex apartments, retail units, recreational centres, swimming pools, squash court and landscaped areas.</w:t>
      </w:r>
    </w:p>
    <w:p w:rsidR="006128DA" w:rsidRPr="0053047A" w:rsidRDefault="006128DA" w:rsidP="00E801FC">
      <w:pPr>
        <w:spacing w:after="0" w:line="240" w:lineRule="auto"/>
        <w:jc w:val="both"/>
        <w:rPr>
          <w:sz w:val="24"/>
          <w:szCs w:val="24"/>
        </w:rPr>
      </w:pPr>
    </w:p>
    <w:p w:rsidR="007B44AD" w:rsidRPr="0053047A" w:rsidRDefault="005943A6" w:rsidP="008D5698">
      <w:pPr>
        <w:spacing w:after="0" w:line="240" w:lineRule="auto"/>
        <w:jc w:val="both"/>
        <w:rPr>
          <w:sz w:val="24"/>
          <w:szCs w:val="24"/>
        </w:rPr>
      </w:pPr>
      <w:r w:rsidRPr="0053047A">
        <w:rPr>
          <w:sz w:val="24"/>
          <w:szCs w:val="24"/>
        </w:rPr>
        <w:t>Th</w:t>
      </w:r>
      <w:r w:rsidR="004D0E7B" w:rsidRPr="0053047A">
        <w:rPr>
          <w:sz w:val="24"/>
          <w:szCs w:val="24"/>
        </w:rPr>
        <w:t xml:space="preserve">e project progress and details were unveiled </w:t>
      </w:r>
      <w:r w:rsidRPr="0053047A">
        <w:rPr>
          <w:sz w:val="24"/>
          <w:szCs w:val="24"/>
        </w:rPr>
        <w:t xml:space="preserve">at a special </w:t>
      </w:r>
      <w:r w:rsidR="00751814">
        <w:rPr>
          <w:sz w:val="24"/>
          <w:szCs w:val="24"/>
        </w:rPr>
        <w:t>event</w:t>
      </w:r>
      <w:r w:rsidR="007B44AD" w:rsidRPr="0053047A">
        <w:rPr>
          <w:sz w:val="24"/>
          <w:szCs w:val="24"/>
        </w:rPr>
        <w:t xml:space="preserve"> </w:t>
      </w:r>
      <w:r w:rsidR="004D0E7B" w:rsidRPr="0053047A">
        <w:rPr>
          <w:sz w:val="24"/>
          <w:szCs w:val="24"/>
        </w:rPr>
        <w:t xml:space="preserve">in the presence of </w:t>
      </w:r>
      <w:r w:rsidR="007B44AD" w:rsidRPr="0053047A">
        <w:rPr>
          <w:sz w:val="24"/>
          <w:szCs w:val="24"/>
        </w:rPr>
        <w:t xml:space="preserve">Khalid Bin Kalban, Chairman of Properties Investment and Managing Director &amp; CEO of Dubai Investments PJSC. </w:t>
      </w:r>
      <w:r w:rsidR="00751814">
        <w:rPr>
          <w:sz w:val="24"/>
          <w:szCs w:val="24"/>
        </w:rPr>
        <w:t>E</w:t>
      </w:r>
      <w:r w:rsidR="004D0E7B" w:rsidRPr="0053047A">
        <w:rPr>
          <w:sz w:val="24"/>
          <w:szCs w:val="24"/>
        </w:rPr>
        <w:t xml:space="preserve">xciting </w:t>
      </w:r>
      <w:r w:rsidR="007B44AD" w:rsidRPr="0053047A">
        <w:rPr>
          <w:sz w:val="24"/>
          <w:szCs w:val="24"/>
        </w:rPr>
        <w:t xml:space="preserve">payment plans </w:t>
      </w:r>
      <w:r w:rsidR="004D0E7B" w:rsidRPr="0053047A">
        <w:rPr>
          <w:sz w:val="24"/>
          <w:szCs w:val="24"/>
        </w:rPr>
        <w:t xml:space="preserve">spanning </w:t>
      </w:r>
      <w:r w:rsidR="007B44AD" w:rsidRPr="0053047A">
        <w:rPr>
          <w:sz w:val="24"/>
          <w:szCs w:val="24"/>
        </w:rPr>
        <w:t xml:space="preserve">two </w:t>
      </w:r>
      <w:r w:rsidR="004D0E7B" w:rsidRPr="0053047A">
        <w:rPr>
          <w:sz w:val="24"/>
          <w:szCs w:val="24"/>
        </w:rPr>
        <w:t xml:space="preserve">years </w:t>
      </w:r>
      <w:r w:rsidR="007B44AD" w:rsidRPr="0053047A">
        <w:rPr>
          <w:sz w:val="24"/>
          <w:szCs w:val="24"/>
        </w:rPr>
        <w:t xml:space="preserve">to eight years </w:t>
      </w:r>
      <w:r w:rsidR="00751814">
        <w:rPr>
          <w:sz w:val="24"/>
          <w:szCs w:val="24"/>
        </w:rPr>
        <w:t>are also on offer directly from the developer</w:t>
      </w:r>
      <w:r w:rsidR="007B44AD" w:rsidRPr="0053047A">
        <w:rPr>
          <w:sz w:val="24"/>
          <w:szCs w:val="24"/>
        </w:rPr>
        <w:t>.</w:t>
      </w:r>
    </w:p>
    <w:p w:rsidR="007B44AD" w:rsidRPr="0053047A" w:rsidRDefault="007B44AD" w:rsidP="00E801FC">
      <w:pPr>
        <w:spacing w:after="0" w:line="240" w:lineRule="auto"/>
        <w:jc w:val="both"/>
        <w:rPr>
          <w:sz w:val="24"/>
          <w:szCs w:val="24"/>
        </w:rPr>
      </w:pPr>
    </w:p>
    <w:p w:rsidR="006128DA" w:rsidRPr="0053047A" w:rsidRDefault="006128DA" w:rsidP="00EC05F9">
      <w:pPr>
        <w:spacing w:after="0" w:line="240" w:lineRule="auto"/>
        <w:jc w:val="both"/>
        <w:rPr>
          <w:sz w:val="24"/>
          <w:szCs w:val="24"/>
        </w:rPr>
      </w:pPr>
      <w:r w:rsidRPr="0053047A">
        <w:rPr>
          <w:sz w:val="24"/>
          <w:szCs w:val="24"/>
        </w:rPr>
        <w:t>The project</w:t>
      </w:r>
      <w:r w:rsidR="007B44AD" w:rsidRPr="0053047A">
        <w:rPr>
          <w:sz w:val="24"/>
          <w:szCs w:val="24"/>
        </w:rPr>
        <w:t xml:space="preserve">’s stage 2 </w:t>
      </w:r>
      <w:r w:rsidRPr="0053047A">
        <w:rPr>
          <w:sz w:val="24"/>
          <w:szCs w:val="24"/>
        </w:rPr>
        <w:t xml:space="preserve">will include 96 townhouses and </w:t>
      </w:r>
      <w:r w:rsidR="004D0E7B" w:rsidRPr="0053047A">
        <w:rPr>
          <w:sz w:val="24"/>
          <w:szCs w:val="24"/>
        </w:rPr>
        <w:t xml:space="preserve">is </w:t>
      </w:r>
      <w:r w:rsidRPr="0053047A">
        <w:rPr>
          <w:sz w:val="24"/>
          <w:szCs w:val="24"/>
        </w:rPr>
        <w:t xml:space="preserve">expected to be </w:t>
      </w:r>
      <w:r w:rsidR="007B44AD" w:rsidRPr="0053047A">
        <w:rPr>
          <w:sz w:val="24"/>
          <w:szCs w:val="24"/>
        </w:rPr>
        <w:t xml:space="preserve">handed over </w:t>
      </w:r>
      <w:r w:rsidR="00EC05F9">
        <w:rPr>
          <w:sz w:val="24"/>
          <w:szCs w:val="24"/>
        </w:rPr>
        <w:t xml:space="preserve">by October </w:t>
      </w:r>
      <w:r w:rsidRPr="0053047A">
        <w:rPr>
          <w:sz w:val="24"/>
          <w:szCs w:val="24"/>
        </w:rPr>
        <w:t>2017</w:t>
      </w:r>
      <w:r w:rsidR="00EC05F9">
        <w:rPr>
          <w:sz w:val="24"/>
          <w:szCs w:val="24"/>
        </w:rPr>
        <w:t>;</w:t>
      </w:r>
      <w:r w:rsidRPr="0053047A">
        <w:rPr>
          <w:sz w:val="24"/>
          <w:szCs w:val="24"/>
        </w:rPr>
        <w:t xml:space="preserve"> and </w:t>
      </w:r>
      <w:r w:rsidR="00EC05F9">
        <w:rPr>
          <w:sz w:val="24"/>
          <w:szCs w:val="24"/>
        </w:rPr>
        <w:t xml:space="preserve">the </w:t>
      </w:r>
      <w:r w:rsidR="007B44AD" w:rsidRPr="0053047A">
        <w:rPr>
          <w:sz w:val="24"/>
          <w:szCs w:val="24"/>
        </w:rPr>
        <w:t xml:space="preserve">stage 3, comprising </w:t>
      </w:r>
      <w:r w:rsidRPr="0053047A">
        <w:rPr>
          <w:sz w:val="24"/>
          <w:szCs w:val="24"/>
        </w:rPr>
        <w:t>38 townhouses, 16 apartments and retail units</w:t>
      </w:r>
      <w:r w:rsidR="007B44AD" w:rsidRPr="0053047A">
        <w:rPr>
          <w:sz w:val="24"/>
          <w:szCs w:val="24"/>
        </w:rPr>
        <w:t>,</w:t>
      </w:r>
      <w:r w:rsidRPr="0053047A">
        <w:rPr>
          <w:sz w:val="24"/>
          <w:szCs w:val="24"/>
        </w:rPr>
        <w:t xml:space="preserve"> </w:t>
      </w:r>
      <w:r w:rsidR="007B44AD" w:rsidRPr="0053047A">
        <w:rPr>
          <w:sz w:val="24"/>
          <w:szCs w:val="24"/>
        </w:rPr>
        <w:t xml:space="preserve">is </w:t>
      </w:r>
      <w:r w:rsidRPr="0053047A">
        <w:rPr>
          <w:sz w:val="24"/>
          <w:szCs w:val="24"/>
        </w:rPr>
        <w:t xml:space="preserve">expected to be completed </w:t>
      </w:r>
      <w:r w:rsidR="00EC05F9">
        <w:rPr>
          <w:sz w:val="24"/>
          <w:szCs w:val="24"/>
        </w:rPr>
        <w:t xml:space="preserve">by end of </w:t>
      </w:r>
      <w:r w:rsidRPr="0053047A">
        <w:rPr>
          <w:sz w:val="24"/>
          <w:szCs w:val="24"/>
        </w:rPr>
        <w:t xml:space="preserve">2017. </w:t>
      </w:r>
      <w:r w:rsidR="004D0E7B" w:rsidRPr="0053047A">
        <w:rPr>
          <w:sz w:val="24"/>
          <w:szCs w:val="24"/>
        </w:rPr>
        <w:t>The t</w:t>
      </w:r>
      <w:r w:rsidRPr="0053047A">
        <w:rPr>
          <w:sz w:val="24"/>
          <w:szCs w:val="24"/>
        </w:rPr>
        <w:t>otal built-up area of the project is 1.01 million square feet and sellable area is 976,718 square feet.</w:t>
      </w:r>
    </w:p>
    <w:p w:rsidR="007B44AD" w:rsidRPr="0053047A" w:rsidRDefault="007B44AD" w:rsidP="00E801FC">
      <w:pPr>
        <w:spacing w:after="0" w:line="240" w:lineRule="auto"/>
        <w:jc w:val="both"/>
        <w:rPr>
          <w:sz w:val="24"/>
          <w:szCs w:val="24"/>
        </w:rPr>
      </w:pPr>
    </w:p>
    <w:p w:rsidR="007C7872" w:rsidRDefault="007B44AD" w:rsidP="00E801FC">
      <w:pPr>
        <w:spacing w:after="0" w:line="240" w:lineRule="auto"/>
        <w:jc w:val="both"/>
        <w:rPr>
          <w:sz w:val="24"/>
          <w:szCs w:val="24"/>
        </w:rPr>
      </w:pPr>
      <w:r w:rsidRPr="0053047A">
        <w:rPr>
          <w:sz w:val="24"/>
          <w:szCs w:val="24"/>
        </w:rPr>
        <w:t>Khalid Bin Kalban said:</w:t>
      </w:r>
      <w:r w:rsidR="0053047A" w:rsidRPr="0053047A">
        <w:rPr>
          <w:sz w:val="24"/>
          <w:szCs w:val="24"/>
        </w:rPr>
        <w:t xml:space="preserve"> “The fundamental drivers of UAE’s real estate sectors are strong, with investor confidence and interest on the rise. </w:t>
      </w:r>
      <w:r w:rsidR="00235849">
        <w:rPr>
          <w:sz w:val="24"/>
          <w:szCs w:val="24"/>
        </w:rPr>
        <w:t>Concurrently</w:t>
      </w:r>
      <w:r w:rsidR="004F389E">
        <w:rPr>
          <w:sz w:val="24"/>
          <w:szCs w:val="24"/>
        </w:rPr>
        <w:t xml:space="preserve">, </w:t>
      </w:r>
      <w:r w:rsidR="0053047A" w:rsidRPr="0053047A">
        <w:rPr>
          <w:sz w:val="24"/>
          <w:szCs w:val="24"/>
        </w:rPr>
        <w:t xml:space="preserve">Dubai’s growing reputation as the business and leisure hub, coupled with the anticipated demand for Expo 2020, </w:t>
      </w:r>
      <w:r w:rsidR="00DA3B32">
        <w:rPr>
          <w:sz w:val="24"/>
          <w:szCs w:val="24"/>
        </w:rPr>
        <w:t>are expected to</w:t>
      </w:r>
      <w:r w:rsidR="0053047A" w:rsidRPr="0053047A">
        <w:rPr>
          <w:sz w:val="24"/>
          <w:szCs w:val="24"/>
        </w:rPr>
        <w:t xml:space="preserve"> catapult the Emirate’s real estate sector in the coming months.</w:t>
      </w:r>
      <w:r w:rsidR="007C7872">
        <w:rPr>
          <w:sz w:val="24"/>
          <w:szCs w:val="24"/>
        </w:rPr>
        <w:t xml:space="preserve"> Amidst these trends, </w:t>
      </w:r>
      <w:r w:rsidR="0053047A" w:rsidRPr="0053047A">
        <w:rPr>
          <w:sz w:val="24"/>
          <w:szCs w:val="24"/>
        </w:rPr>
        <w:t>Properties Investment</w:t>
      </w:r>
      <w:r w:rsidR="007C7872">
        <w:rPr>
          <w:sz w:val="24"/>
          <w:szCs w:val="24"/>
        </w:rPr>
        <w:t>’s Green Community project offers an unmatched investment opportunity.”</w:t>
      </w:r>
    </w:p>
    <w:p w:rsidR="007C7872" w:rsidRDefault="007C7872" w:rsidP="00E801FC">
      <w:pPr>
        <w:spacing w:after="0" w:line="240" w:lineRule="auto"/>
        <w:jc w:val="both"/>
        <w:rPr>
          <w:sz w:val="24"/>
          <w:szCs w:val="24"/>
        </w:rPr>
      </w:pPr>
    </w:p>
    <w:p w:rsidR="00751814" w:rsidRDefault="007C7872" w:rsidP="0006278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 added: “Since its inception, Properties Investment </w:t>
      </w:r>
      <w:r w:rsidR="004F389E">
        <w:rPr>
          <w:sz w:val="24"/>
          <w:szCs w:val="24"/>
        </w:rPr>
        <w:t xml:space="preserve">has set new benchmarks in establishing pioneering residential concepts such as Green Community with </w:t>
      </w:r>
      <w:r>
        <w:rPr>
          <w:sz w:val="24"/>
          <w:szCs w:val="24"/>
        </w:rPr>
        <w:t xml:space="preserve">unparalleled </w:t>
      </w:r>
      <w:r w:rsidR="004F389E">
        <w:rPr>
          <w:sz w:val="24"/>
          <w:szCs w:val="24"/>
        </w:rPr>
        <w:t>quality standards.</w:t>
      </w:r>
      <w:r>
        <w:rPr>
          <w:sz w:val="24"/>
          <w:szCs w:val="24"/>
        </w:rPr>
        <w:t xml:space="preserve"> </w:t>
      </w:r>
      <w:r w:rsidR="004F389E">
        <w:rPr>
          <w:sz w:val="24"/>
          <w:szCs w:val="24"/>
        </w:rPr>
        <w:t xml:space="preserve">The Company is aiming to continue its solid legacy through the </w:t>
      </w:r>
      <w:r w:rsidR="0006278F" w:rsidRPr="0053047A">
        <w:rPr>
          <w:sz w:val="24"/>
          <w:szCs w:val="24"/>
        </w:rPr>
        <w:t>Green Community West</w:t>
      </w:r>
      <w:r w:rsidR="0006278F">
        <w:rPr>
          <w:sz w:val="24"/>
          <w:szCs w:val="24"/>
        </w:rPr>
        <w:t xml:space="preserve"> </w:t>
      </w:r>
      <w:r w:rsidR="0006278F" w:rsidRPr="00D87648">
        <w:rPr>
          <w:sz w:val="24"/>
          <w:szCs w:val="24"/>
        </w:rPr>
        <w:t>DIP –</w:t>
      </w:r>
      <w:r w:rsidR="0006278F">
        <w:rPr>
          <w:sz w:val="24"/>
          <w:szCs w:val="24"/>
        </w:rPr>
        <w:t xml:space="preserve"> Phase </w:t>
      </w:r>
      <w:r w:rsidR="0006278F" w:rsidRPr="0053047A">
        <w:rPr>
          <w:sz w:val="24"/>
          <w:szCs w:val="24"/>
        </w:rPr>
        <w:t>III</w:t>
      </w:r>
      <w:r w:rsidR="004F389E">
        <w:rPr>
          <w:sz w:val="24"/>
          <w:szCs w:val="24"/>
        </w:rPr>
        <w:t xml:space="preserve">, with its townhouses and duplex apartments offering </w:t>
      </w:r>
      <w:r>
        <w:rPr>
          <w:sz w:val="24"/>
          <w:szCs w:val="24"/>
        </w:rPr>
        <w:t xml:space="preserve">robust </w:t>
      </w:r>
      <w:r w:rsidR="004F389E">
        <w:rPr>
          <w:sz w:val="24"/>
          <w:szCs w:val="24"/>
        </w:rPr>
        <w:t>opportunities to both end-users and investors.</w:t>
      </w:r>
      <w:r w:rsidR="00751814">
        <w:rPr>
          <w:sz w:val="24"/>
          <w:szCs w:val="24"/>
        </w:rPr>
        <w:t>”</w:t>
      </w:r>
    </w:p>
    <w:p w:rsidR="004F389E" w:rsidRPr="0053047A" w:rsidRDefault="0006278F" w:rsidP="001241DF">
      <w:pPr>
        <w:spacing w:after="0" w:line="240" w:lineRule="auto"/>
        <w:jc w:val="both"/>
        <w:rPr>
          <w:sz w:val="24"/>
          <w:szCs w:val="24"/>
        </w:rPr>
      </w:pPr>
      <w:r w:rsidRPr="0053047A">
        <w:rPr>
          <w:sz w:val="24"/>
          <w:szCs w:val="24"/>
        </w:rPr>
        <w:lastRenderedPageBreak/>
        <w:t>Green Community West</w:t>
      </w:r>
      <w:r>
        <w:rPr>
          <w:sz w:val="24"/>
          <w:szCs w:val="24"/>
        </w:rPr>
        <w:t xml:space="preserve"> </w:t>
      </w:r>
      <w:r w:rsidRPr="00D87648">
        <w:rPr>
          <w:sz w:val="24"/>
          <w:szCs w:val="24"/>
        </w:rPr>
        <w:t>DIP –</w:t>
      </w:r>
      <w:r>
        <w:rPr>
          <w:sz w:val="24"/>
          <w:szCs w:val="24"/>
        </w:rPr>
        <w:t xml:space="preserve"> Phase </w:t>
      </w:r>
      <w:r w:rsidRPr="0053047A">
        <w:rPr>
          <w:sz w:val="24"/>
          <w:szCs w:val="24"/>
        </w:rPr>
        <w:t>III</w:t>
      </w:r>
      <w:r>
        <w:rPr>
          <w:sz w:val="24"/>
          <w:szCs w:val="24"/>
        </w:rPr>
        <w:t xml:space="preserve"> </w:t>
      </w:r>
      <w:r w:rsidR="00751814">
        <w:rPr>
          <w:sz w:val="24"/>
          <w:szCs w:val="24"/>
        </w:rPr>
        <w:t xml:space="preserve">will also </w:t>
      </w:r>
      <w:r w:rsidR="001241DF">
        <w:rPr>
          <w:sz w:val="24"/>
          <w:szCs w:val="24"/>
        </w:rPr>
        <w:t xml:space="preserve">include an </w:t>
      </w:r>
      <w:r w:rsidR="00751814">
        <w:rPr>
          <w:sz w:val="24"/>
          <w:szCs w:val="24"/>
        </w:rPr>
        <w:t xml:space="preserve">expanded </w:t>
      </w:r>
      <w:r w:rsidR="001241DF">
        <w:rPr>
          <w:sz w:val="24"/>
          <w:szCs w:val="24"/>
        </w:rPr>
        <w:t xml:space="preserve">Market section, with enhanced commercial and retail options </w:t>
      </w:r>
      <w:r w:rsidR="00751814">
        <w:rPr>
          <w:sz w:val="24"/>
          <w:szCs w:val="24"/>
        </w:rPr>
        <w:t>to support the needs of the residents and visitors, added Kalban.</w:t>
      </w:r>
    </w:p>
    <w:p w:rsidR="0053047A" w:rsidRDefault="0053047A" w:rsidP="00E801FC">
      <w:pPr>
        <w:spacing w:after="0" w:line="240" w:lineRule="auto"/>
        <w:jc w:val="both"/>
        <w:rPr>
          <w:sz w:val="24"/>
          <w:szCs w:val="24"/>
        </w:rPr>
      </w:pPr>
    </w:p>
    <w:p w:rsidR="007B44AD" w:rsidRPr="0053047A" w:rsidRDefault="007B44AD" w:rsidP="0006278F">
      <w:pPr>
        <w:spacing w:after="0" w:line="240" w:lineRule="auto"/>
        <w:jc w:val="both"/>
        <w:rPr>
          <w:sz w:val="24"/>
          <w:szCs w:val="24"/>
        </w:rPr>
      </w:pPr>
      <w:r w:rsidRPr="0053047A">
        <w:rPr>
          <w:sz w:val="24"/>
          <w:szCs w:val="24"/>
        </w:rPr>
        <w:t xml:space="preserve">Dewan Architects and Engineers are the lead consultants and Shapoorji Pallonji Mideast LLC are the main contractors of the </w:t>
      </w:r>
      <w:r w:rsidR="0006278F" w:rsidRPr="0053047A">
        <w:rPr>
          <w:sz w:val="24"/>
          <w:szCs w:val="24"/>
        </w:rPr>
        <w:t>Green Community West</w:t>
      </w:r>
      <w:r w:rsidR="0006278F">
        <w:rPr>
          <w:sz w:val="24"/>
          <w:szCs w:val="24"/>
        </w:rPr>
        <w:t xml:space="preserve"> </w:t>
      </w:r>
      <w:r w:rsidR="0006278F" w:rsidRPr="00D87648">
        <w:rPr>
          <w:sz w:val="24"/>
          <w:szCs w:val="24"/>
        </w:rPr>
        <w:t>DIP –</w:t>
      </w:r>
      <w:r w:rsidR="0006278F">
        <w:rPr>
          <w:sz w:val="24"/>
          <w:szCs w:val="24"/>
        </w:rPr>
        <w:t xml:space="preserve"> Phase </w:t>
      </w:r>
      <w:r w:rsidR="0006278F" w:rsidRPr="0053047A">
        <w:rPr>
          <w:sz w:val="24"/>
          <w:szCs w:val="24"/>
        </w:rPr>
        <w:t xml:space="preserve">III </w:t>
      </w:r>
      <w:r w:rsidRPr="0053047A">
        <w:rPr>
          <w:sz w:val="24"/>
          <w:szCs w:val="24"/>
        </w:rPr>
        <w:t>project. Covering 67 hectares of residential, leisure, retail, and commercial properties, the Green Community development prides itself on its modern surroundings and tranquil environment.</w:t>
      </w:r>
    </w:p>
    <w:p w:rsidR="004D0E7B" w:rsidRDefault="004D0E7B" w:rsidP="004D0E7B">
      <w:pPr>
        <w:spacing w:after="0" w:line="240" w:lineRule="auto"/>
        <w:jc w:val="both"/>
      </w:pPr>
    </w:p>
    <w:p w:rsidR="004D7074" w:rsidRDefault="004D0E7B" w:rsidP="0053047A">
      <w:pPr>
        <w:spacing w:after="0" w:line="240" w:lineRule="auto"/>
        <w:jc w:val="center"/>
        <w:rPr>
          <w:b/>
        </w:rPr>
      </w:pPr>
      <w:r w:rsidRPr="004D0E7B">
        <w:rPr>
          <w:b/>
        </w:rPr>
        <w:t>ENDS</w:t>
      </w:r>
    </w:p>
    <w:p w:rsidR="00377E50" w:rsidRDefault="00377E50" w:rsidP="0053047A">
      <w:pPr>
        <w:spacing w:after="0" w:line="240" w:lineRule="auto"/>
        <w:jc w:val="center"/>
        <w:rPr>
          <w:b/>
        </w:rPr>
      </w:pPr>
    </w:p>
    <w:p w:rsidR="00377E50" w:rsidRDefault="00377E50" w:rsidP="00377E50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AE4936">
        <w:rPr>
          <w:rFonts w:asciiTheme="minorHAnsi" w:hAnsiTheme="minorHAnsi" w:cs="Arial"/>
          <w:b/>
          <w:bCs/>
          <w:color w:val="000000"/>
          <w:sz w:val="18"/>
          <w:szCs w:val="18"/>
          <w:u w:val="single"/>
          <w:shd w:val="clear" w:color="auto" w:fill="FFFFFF"/>
        </w:rPr>
        <w:t>About Properties Investment LLC:</w:t>
      </w:r>
    </w:p>
    <w:p w:rsidR="00377E50" w:rsidRPr="00AE4936" w:rsidRDefault="00377E50" w:rsidP="00377E50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</w:p>
    <w:p w:rsidR="00377E50" w:rsidRDefault="00377E50" w:rsidP="00377E50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</w:pPr>
      <w:r w:rsidRPr="00AE4936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Properties Investment LLC, established in 2002, is a joint venture of Dubai Investments </w:t>
      </w:r>
      <w:r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PJSC </w:t>
      </w:r>
      <w:r w:rsidRPr="00AE4936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and Union Properties</w:t>
      </w:r>
      <w:r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PJSC</w:t>
      </w:r>
      <w:r w:rsidRPr="00AE4936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. Dubai Investments owns 70% stake in the Company. Properties Investment’s principal activity is focused on investment and development of real estate properties – including residential and recreational projects, such as Green Community and Courtyard by Marriott in Dubai Investments Park</w:t>
      </w:r>
      <w:r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[DIP]</w:t>
      </w:r>
      <w:bookmarkStart w:id="0" w:name="_GoBack"/>
      <w:bookmarkEnd w:id="0"/>
      <w:r w:rsidRPr="00AE4936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.</w:t>
      </w:r>
    </w:p>
    <w:p w:rsidR="00377E50" w:rsidRDefault="00377E50" w:rsidP="00377E50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</w:pPr>
    </w:p>
    <w:p w:rsidR="00377E50" w:rsidRPr="0031295E" w:rsidRDefault="00377E50" w:rsidP="00377E50">
      <w:pPr>
        <w:pStyle w:val="NoSpacing"/>
        <w:rPr>
          <w:b/>
          <w:sz w:val="18"/>
          <w:szCs w:val="18"/>
        </w:rPr>
      </w:pPr>
      <w:r w:rsidRPr="0031295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BE20F8E" wp14:editId="6A7B8DAE">
            <wp:simplePos x="0" y="0"/>
            <wp:positionH relativeFrom="column">
              <wp:posOffset>-171450</wp:posOffset>
            </wp:positionH>
            <wp:positionV relativeFrom="paragraph">
              <wp:posOffset>193040</wp:posOffset>
            </wp:positionV>
            <wp:extent cx="3303905" cy="991870"/>
            <wp:effectExtent l="0" t="0" r="0" b="0"/>
            <wp:wrapTight wrapText="bothSides">
              <wp:wrapPolygon edited="0">
                <wp:start x="872" y="830"/>
                <wp:lineTo x="872" y="19913"/>
                <wp:lineTo x="21421" y="19913"/>
                <wp:lineTo x="21421" y="18254"/>
                <wp:lineTo x="21297" y="17009"/>
                <wp:lineTo x="20799" y="14935"/>
                <wp:lineTo x="20923" y="13275"/>
                <wp:lineTo x="9714" y="8712"/>
                <wp:lineTo x="3861" y="8297"/>
                <wp:lineTo x="19304" y="4149"/>
                <wp:lineTo x="19802" y="1659"/>
                <wp:lineTo x="17312" y="830"/>
                <wp:lineTo x="872" y="830"/>
              </wp:wrapPolygon>
            </wp:wrapTight>
            <wp:docPr id="3" name="Picture 3" descr="DI-Venkat-email-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-Venkat-email-signa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95E">
        <w:rPr>
          <w:b/>
          <w:sz w:val="18"/>
          <w:szCs w:val="18"/>
        </w:rPr>
        <w:t>For media inquiries, please contact:</w:t>
      </w:r>
    </w:p>
    <w:p w:rsidR="00377E50" w:rsidRPr="0031295E" w:rsidRDefault="00377E50" w:rsidP="00377E50">
      <w:pPr>
        <w:spacing w:after="0" w:line="240" w:lineRule="auto"/>
        <w:jc w:val="both"/>
        <w:rPr>
          <w:rFonts w:ascii="Calibri" w:hAnsi="Calibri"/>
          <w:color w:val="000000"/>
          <w:lang w:val="en"/>
        </w:rPr>
      </w:pPr>
    </w:p>
    <w:p w:rsidR="00377E50" w:rsidRPr="0031295E" w:rsidRDefault="00377E50" w:rsidP="00377E50">
      <w:pPr>
        <w:spacing w:after="0" w:line="240" w:lineRule="auto"/>
        <w:jc w:val="both"/>
        <w:rPr>
          <w:rFonts w:ascii="Calibri" w:hAnsi="Calibri"/>
          <w:lang w:val="en"/>
        </w:rPr>
      </w:pPr>
    </w:p>
    <w:p w:rsidR="00377E50" w:rsidRDefault="00377E50" w:rsidP="00377E50">
      <w:pPr>
        <w:spacing w:after="0" w:line="240" w:lineRule="auto"/>
        <w:jc w:val="both"/>
        <w:rPr>
          <w:rFonts w:ascii="Calibri" w:hAnsi="Calibri"/>
        </w:rPr>
      </w:pPr>
    </w:p>
    <w:p w:rsidR="00377E50" w:rsidRPr="00AE4936" w:rsidRDefault="00377E50" w:rsidP="00377E50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</w:pPr>
    </w:p>
    <w:p w:rsidR="00377E50" w:rsidRPr="0053047A" w:rsidRDefault="00377E50" w:rsidP="0053047A">
      <w:pPr>
        <w:spacing w:after="0" w:line="240" w:lineRule="auto"/>
        <w:jc w:val="center"/>
        <w:rPr>
          <w:b/>
        </w:rPr>
      </w:pPr>
    </w:p>
    <w:sectPr w:rsidR="00377E50" w:rsidRPr="005304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701" w:rsidRDefault="00F64701" w:rsidP="005943A6">
      <w:pPr>
        <w:spacing w:after="0" w:line="240" w:lineRule="auto"/>
      </w:pPr>
      <w:r>
        <w:separator/>
      </w:r>
    </w:p>
  </w:endnote>
  <w:endnote w:type="continuationSeparator" w:id="0">
    <w:p w:rsidR="00F64701" w:rsidRDefault="00F64701" w:rsidP="0059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701" w:rsidRDefault="00F64701" w:rsidP="005943A6">
      <w:pPr>
        <w:spacing w:after="0" w:line="240" w:lineRule="auto"/>
      </w:pPr>
      <w:r>
        <w:separator/>
      </w:r>
    </w:p>
  </w:footnote>
  <w:footnote w:type="continuationSeparator" w:id="0">
    <w:p w:rsidR="00F64701" w:rsidRDefault="00F64701" w:rsidP="00594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3A6" w:rsidRDefault="005943A6">
    <w:pPr>
      <w:pStyle w:val="Header"/>
    </w:pPr>
    <w:r w:rsidRPr="005943A6">
      <w:rPr>
        <w:noProof/>
      </w:rPr>
      <w:drawing>
        <wp:anchor distT="0" distB="0" distL="114300" distR="114300" simplePos="0" relativeHeight="251660288" behindDoc="1" locked="0" layoutInCell="1" allowOverlap="1" wp14:anchorId="70DEA8FF" wp14:editId="290631E1">
          <wp:simplePos x="0" y="0"/>
          <wp:positionH relativeFrom="column">
            <wp:posOffset>3810000</wp:posOffset>
          </wp:positionH>
          <wp:positionV relativeFrom="paragraph">
            <wp:posOffset>104140</wp:posOffset>
          </wp:positionV>
          <wp:extent cx="2161540" cy="657225"/>
          <wp:effectExtent l="0" t="0" r="0" b="9525"/>
          <wp:wrapTight wrapText="bothSides">
            <wp:wrapPolygon edited="0">
              <wp:start x="0" y="0"/>
              <wp:lineTo x="0" y="21287"/>
              <wp:lineTo x="21321" y="21287"/>
              <wp:lineTo x="213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43A6" w:rsidRDefault="005943A6">
    <w:pPr>
      <w:pStyle w:val="Header"/>
    </w:pPr>
    <w:r w:rsidRPr="005943A6">
      <w:rPr>
        <w:noProof/>
      </w:rPr>
      <w:drawing>
        <wp:anchor distT="0" distB="0" distL="114300" distR="114300" simplePos="0" relativeHeight="251659264" behindDoc="1" locked="0" layoutInCell="1" allowOverlap="1" wp14:anchorId="6F4D127B" wp14:editId="7ACAE7E0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3113405" cy="495300"/>
          <wp:effectExtent l="0" t="0" r="0" b="0"/>
          <wp:wrapTight wrapText="bothSides">
            <wp:wrapPolygon edited="0">
              <wp:start x="0" y="0"/>
              <wp:lineTo x="0" y="20769"/>
              <wp:lineTo x="21411" y="20769"/>
              <wp:lineTo x="21411" y="0"/>
              <wp:lineTo x="0" y="0"/>
            </wp:wrapPolygon>
          </wp:wrapTight>
          <wp:docPr id="1" name="Picture 1" descr="C:\Users\Venkatiyer\AppData\Local\Microsoft\Windows\Temporary Internet Files\Content.Outlook\0S88Q2GG\PI logo without 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nkatiyer\AppData\Local\Microsoft\Windows\Temporary Internet Files\Content.Outlook\0S88Q2GG\PI logo without text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63" t="43751" r="14584" b="44871"/>
                  <a:stretch/>
                </pic:blipFill>
                <pic:spPr bwMode="auto">
                  <a:xfrm>
                    <a:off x="0" y="0"/>
                    <a:ext cx="31134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43A6" w:rsidRDefault="005943A6">
    <w:pPr>
      <w:pStyle w:val="Header"/>
    </w:pPr>
  </w:p>
  <w:p w:rsidR="005943A6" w:rsidRDefault="005943A6">
    <w:pPr>
      <w:pStyle w:val="Header"/>
    </w:pPr>
  </w:p>
  <w:p w:rsidR="005943A6" w:rsidRDefault="005943A6">
    <w:pPr>
      <w:pStyle w:val="Header"/>
    </w:pPr>
  </w:p>
  <w:p w:rsidR="001241DF" w:rsidRDefault="001241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655CC"/>
    <w:multiLevelType w:val="hybridMultilevel"/>
    <w:tmpl w:val="99EA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35592"/>
    <w:multiLevelType w:val="hybridMultilevel"/>
    <w:tmpl w:val="EF86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74"/>
    <w:rsid w:val="0006278F"/>
    <w:rsid w:val="00062D97"/>
    <w:rsid w:val="001241DF"/>
    <w:rsid w:val="002342EF"/>
    <w:rsid w:val="00235849"/>
    <w:rsid w:val="00242069"/>
    <w:rsid w:val="0027494B"/>
    <w:rsid w:val="00377E50"/>
    <w:rsid w:val="003D3973"/>
    <w:rsid w:val="004D0E7B"/>
    <w:rsid w:val="004D7074"/>
    <w:rsid w:val="004F389E"/>
    <w:rsid w:val="005239F6"/>
    <w:rsid w:val="0053047A"/>
    <w:rsid w:val="00563432"/>
    <w:rsid w:val="005943A6"/>
    <w:rsid w:val="006128DA"/>
    <w:rsid w:val="00741556"/>
    <w:rsid w:val="007430C5"/>
    <w:rsid w:val="00751814"/>
    <w:rsid w:val="007A4534"/>
    <w:rsid w:val="007B44AD"/>
    <w:rsid w:val="007C7872"/>
    <w:rsid w:val="008D5698"/>
    <w:rsid w:val="00983A99"/>
    <w:rsid w:val="00985E1E"/>
    <w:rsid w:val="00A605E0"/>
    <w:rsid w:val="00BB6928"/>
    <w:rsid w:val="00C31169"/>
    <w:rsid w:val="00D87648"/>
    <w:rsid w:val="00DA3B32"/>
    <w:rsid w:val="00E801FC"/>
    <w:rsid w:val="00EC05F9"/>
    <w:rsid w:val="00F417CD"/>
    <w:rsid w:val="00F64701"/>
    <w:rsid w:val="00FA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A330F-7E44-4662-9060-B6D63457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0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A6"/>
  </w:style>
  <w:style w:type="paragraph" w:styleId="Footer">
    <w:name w:val="footer"/>
    <w:basedOn w:val="Normal"/>
    <w:link w:val="FooterChar"/>
    <w:uiPriority w:val="99"/>
    <w:unhideWhenUsed/>
    <w:rsid w:val="00594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A6"/>
  </w:style>
  <w:style w:type="paragraph" w:styleId="BalloonText">
    <w:name w:val="Balloon Text"/>
    <w:basedOn w:val="Normal"/>
    <w:link w:val="BalloonTextChar"/>
    <w:uiPriority w:val="99"/>
    <w:semiHidden/>
    <w:unhideWhenUsed/>
    <w:rsid w:val="00F4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C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7E50"/>
    <w:pPr>
      <w:spacing w:after="0" w:line="240" w:lineRule="auto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 Iyer</dc:creator>
  <cp:keywords/>
  <dc:description/>
  <cp:lastModifiedBy>Venkat Iyer</cp:lastModifiedBy>
  <cp:revision>21</cp:revision>
  <cp:lastPrinted>2017-01-25T06:44:00Z</cp:lastPrinted>
  <dcterms:created xsi:type="dcterms:W3CDTF">2017-01-23T05:32:00Z</dcterms:created>
  <dcterms:modified xsi:type="dcterms:W3CDTF">2017-01-26T11:40:00Z</dcterms:modified>
</cp:coreProperties>
</file>